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F611">
      <w:pPr>
        <w:spacing w:before="348" w:line="215" w:lineRule="auto"/>
        <w:ind w:left="165"/>
        <w:jc w:val="center"/>
        <w:outlineLvl w:val="0"/>
        <w:rPr>
          <w:rFonts w:hint="default" w:ascii="微软雅黑" w:hAnsi="微软雅黑" w:eastAsia="微软雅黑" w:cs="微软雅黑"/>
          <w:spacing w:val="16"/>
          <w:sz w:val="43"/>
          <w:szCs w:val="43"/>
          <w:lang w:val="en-US" w:eastAsia="zh-Hans"/>
        </w:rPr>
      </w:pPr>
      <w:bookmarkStart w:id="0" w:name="_Toc690457936"/>
      <w:bookmarkStart w:id="1" w:name="_Toc1989390047"/>
      <w:bookmarkStart w:id="9" w:name="_GoBack"/>
      <w:bookmarkEnd w:id="9"/>
      <w:r>
        <w:rPr>
          <w:rFonts w:hint="eastAsia" w:ascii="微软雅黑" w:hAnsi="微软雅黑" w:eastAsia="微软雅黑" w:cs="微软雅黑"/>
          <w:spacing w:val="16"/>
          <w:sz w:val="43"/>
          <w:szCs w:val="43"/>
          <w:lang w:val="en-US" w:eastAsia="zh-Hans"/>
        </w:rPr>
        <w:t>南昌大学人文学院博士生资格考试实施细则</w:t>
      </w:r>
      <w:bookmarkEnd w:id="0"/>
      <w:bookmarkEnd w:id="1"/>
    </w:p>
    <w:p w14:paraId="1A710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博士研究生</w:t>
      </w:r>
      <w:r>
        <w:rPr>
          <w:rFonts w:ascii="仿宋" w:hAnsi="仿宋" w:eastAsia="仿宋" w:cs="仿宋"/>
          <w:spacing w:val="-5"/>
          <w:sz w:val="31"/>
          <w:szCs w:val="31"/>
        </w:rPr>
        <w:t>资</w:t>
      </w:r>
      <w:r>
        <w:rPr>
          <w:rFonts w:ascii="仿宋" w:hAnsi="仿宋" w:eastAsia="仿宋" w:cs="仿宋"/>
          <w:spacing w:val="-3"/>
          <w:sz w:val="31"/>
          <w:szCs w:val="31"/>
        </w:rPr>
        <w:t>格考试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3"/>
          <w:sz w:val="31"/>
          <w:szCs w:val="31"/>
        </w:rPr>
        <w:t>以下简称“博士生资格考试”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3"/>
          <w:sz w:val="31"/>
          <w:szCs w:val="31"/>
        </w:rPr>
        <w:t>是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Hans"/>
        </w:rPr>
        <w:t>学</w:t>
      </w:r>
      <w:r>
        <w:rPr>
          <w:rFonts w:ascii="仿宋" w:hAnsi="仿宋" w:eastAsia="仿宋" w:cs="仿宋"/>
          <w:spacing w:val="16"/>
          <w:sz w:val="31"/>
          <w:szCs w:val="31"/>
        </w:rPr>
        <w:t>校</w:t>
      </w:r>
      <w:r>
        <w:rPr>
          <w:rFonts w:ascii="仿宋" w:hAnsi="仿宋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高博士生培养质量的重要措施，也是博士生取得进入博士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</w:t>
      </w:r>
      <w:r>
        <w:rPr>
          <w:rFonts w:ascii="仿宋" w:hAnsi="仿宋" w:eastAsia="仿宋" w:cs="仿宋"/>
          <w:spacing w:val="16"/>
          <w:sz w:val="31"/>
          <w:szCs w:val="31"/>
        </w:rPr>
        <w:t>位</w:t>
      </w:r>
      <w:r>
        <w:rPr>
          <w:rFonts w:ascii="仿宋" w:hAnsi="仿宋" w:eastAsia="仿宋" w:cs="仿宋"/>
          <w:spacing w:val="11"/>
          <w:sz w:val="31"/>
          <w:szCs w:val="31"/>
        </w:rPr>
        <w:t>论</w:t>
      </w:r>
      <w:r>
        <w:rPr>
          <w:rFonts w:ascii="仿宋" w:hAnsi="仿宋" w:eastAsia="仿宋" w:cs="仿宋"/>
          <w:spacing w:val="8"/>
          <w:sz w:val="31"/>
          <w:szCs w:val="31"/>
        </w:rPr>
        <w:t>文资格的前提。为规范我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博士生资格考试工作，加强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培</w:t>
      </w:r>
      <w:r>
        <w:rPr>
          <w:rFonts w:ascii="仿宋" w:hAnsi="仿宋" w:eastAsia="仿宋" w:cs="仿宋"/>
          <w:spacing w:val="8"/>
          <w:sz w:val="31"/>
          <w:szCs w:val="31"/>
        </w:rPr>
        <w:t>养</w:t>
      </w:r>
      <w:r>
        <w:rPr>
          <w:rFonts w:ascii="仿宋" w:hAnsi="仿宋" w:eastAsia="仿宋" w:cs="仿宋"/>
          <w:spacing w:val="12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程管理，特制订本办法。</w:t>
      </w:r>
    </w:p>
    <w:p w14:paraId="73BEF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2" w:name="_Toc21080"/>
      <w:r>
        <w:rPr>
          <w:rFonts w:ascii="黑体" w:hAnsi="黑体" w:eastAsia="黑体" w:cs="黑体"/>
          <w:spacing w:val="8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一、考试目</w:t>
      </w:r>
      <w:r>
        <w:rPr>
          <w:rFonts w:ascii="黑体" w:hAnsi="黑体" w:eastAsia="黑体" w:cs="黑体"/>
          <w:spacing w:val="7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bookmarkEnd w:id="2"/>
    </w:p>
    <w:p w14:paraId="1E6D5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博士生资格考试是正式进入学位论文研究阶段前的一次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科综合型考试。重点考查博士生是否掌握坚实和宽广的学科基</w:t>
      </w:r>
      <w:r>
        <w:rPr>
          <w:rFonts w:ascii="仿宋" w:hAnsi="仿宋" w:eastAsia="仿宋" w:cs="仿宋"/>
          <w:spacing w:val="10"/>
          <w:sz w:val="31"/>
          <w:szCs w:val="31"/>
        </w:rPr>
        <w:t>础</w:t>
      </w:r>
      <w:r>
        <w:rPr>
          <w:rFonts w:ascii="仿宋" w:hAnsi="仿宋" w:eastAsia="仿宋" w:cs="仿宋"/>
          <w:spacing w:val="8"/>
          <w:sz w:val="31"/>
          <w:szCs w:val="31"/>
        </w:rPr>
        <w:t>和专业知识，是否能综合运用所学知识分析和解决问题，是否</w:t>
      </w:r>
      <w:r>
        <w:rPr>
          <w:rFonts w:ascii="仿宋" w:hAnsi="仿宋" w:eastAsia="仿宋" w:cs="仿宋"/>
          <w:spacing w:val="12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备进行创新性研究工作的能力。</w:t>
      </w:r>
    </w:p>
    <w:p w14:paraId="481038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资格考试通过后方可进行开题报告。</w:t>
      </w:r>
    </w:p>
    <w:p w14:paraId="6D0845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3" w:name="_Toc2573"/>
      <w:r>
        <w:rPr>
          <w:rFonts w:ascii="黑体" w:hAnsi="黑体" w:eastAsia="黑体" w:cs="黑体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二、考试对</w:t>
      </w:r>
      <w:r>
        <w:rPr>
          <w:rFonts w:ascii="黑体" w:hAnsi="黑体" w:eastAsia="黑体" w:cs="黑体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象</w:t>
      </w:r>
      <w:bookmarkEnd w:id="3"/>
    </w:p>
    <w:p w14:paraId="1B4A0A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经普通招考录取的普通博士生；</w:t>
      </w:r>
    </w:p>
    <w:p w14:paraId="669B0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4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优秀应届本科毕业生推荐免试直接攻读博士学位的直博</w:t>
      </w:r>
      <w:r>
        <w:rPr>
          <w:rFonts w:ascii="仿宋" w:hAnsi="仿宋" w:eastAsia="仿宋" w:cs="仿宋"/>
          <w:spacing w:val="-13"/>
          <w:sz w:val="31"/>
          <w:szCs w:val="31"/>
        </w:rPr>
        <w:t>生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；</w:t>
      </w:r>
    </w:p>
    <w:p w14:paraId="582A86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本校在校优秀硕士生经考核录取的硕博连读生。</w:t>
      </w:r>
    </w:p>
    <w:p w14:paraId="75431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往届尚未完成（含暂缓通过）的研究生。</w:t>
      </w:r>
    </w:p>
    <w:p w14:paraId="726746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textAlignment w:val="baseline"/>
        <w:outlineLvl w:val="2"/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4" w:name="_Toc25126"/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、考试组织</w:t>
      </w:r>
      <w:bookmarkEnd w:id="4"/>
    </w:p>
    <w:p w14:paraId="38C70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博士研究生资格考试由学位评定分委员会负责组织成立</w:t>
      </w:r>
      <w:r>
        <w:rPr>
          <w:rFonts w:ascii="仿宋" w:hAnsi="仿宋" w:eastAsia="仿宋" w:cs="仿宋"/>
          <w:spacing w:val="10"/>
          <w:sz w:val="31"/>
          <w:szCs w:val="31"/>
        </w:rPr>
        <w:t>专</w:t>
      </w:r>
      <w:r>
        <w:rPr>
          <w:rFonts w:ascii="仿宋" w:hAnsi="仿宋" w:eastAsia="仿宋" w:cs="仿宋"/>
          <w:spacing w:val="9"/>
          <w:sz w:val="31"/>
          <w:szCs w:val="31"/>
        </w:rPr>
        <w:t>家小组进行考核，专家小组成员不少于3名，须具有博士生导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pacing w:val="6"/>
          <w:sz w:val="31"/>
          <w:szCs w:val="31"/>
        </w:rPr>
        <w:t>资格或正高职称。</w:t>
      </w:r>
    </w:p>
    <w:p w14:paraId="3AC7C0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博士研究生资格考试专家小组职责：按照相关一级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学科</w:t>
      </w:r>
      <w:r>
        <w:rPr>
          <w:rFonts w:ascii="仿宋" w:hAnsi="仿宋" w:eastAsia="仿宋" w:cs="仿宋"/>
          <w:spacing w:val="7"/>
          <w:sz w:val="31"/>
          <w:szCs w:val="31"/>
        </w:rPr>
        <w:t>博</w:t>
      </w:r>
      <w:r>
        <w:rPr>
          <w:rFonts w:ascii="仿宋" w:hAnsi="仿宋" w:eastAsia="仿宋" w:cs="仿宋"/>
          <w:spacing w:val="13"/>
          <w:sz w:val="31"/>
          <w:szCs w:val="31"/>
        </w:rPr>
        <w:t>士</w:t>
      </w:r>
      <w:r>
        <w:rPr>
          <w:rFonts w:ascii="仿宋" w:hAnsi="仿宋" w:eastAsia="仿宋" w:cs="仿宋"/>
          <w:spacing w:val="8"/>
          <w:sz w:val="31"/>
          <w:szCs w:val="31"/>
        </w:rPr>
        <w:t>生的培养目标，认真组织开展博士研究生资格考试相关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工作，</w:t>
      </w:r>
      <w:r>
        <w:rPr>
          <w:rFonts w:ascii="仿宋" w:hAnsi="仿宋" w:eastAsia="仿宋" w:cs="仿宋"/>
          <w:spacing w:val="16"/>
          <w:sz w:val="31"/>
          <w:szCs w:val="31"/>
        </w:rPr>
        <w:t>确定</w:t>
      </w:r>
      <w:r>
        <w:rPr>
          <w:rFonts w:ascii="仿宋" w:hAnsi="仿宋" w:eastAsia="仿宋" w:cs="仿宋"/>
          <w:spacing w:val="8"/>
          <w:sz w:val="31"/>
          <w:szCs w:val="31"/>
        </w:rPr>
        <w:t>考试范围、考试方式、处理有争议成绩等。</w:t>
      </w:r>
    </w:p>
    <w:p w14:paraId="2C568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5" w:name="_Toc13409"/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、考试内容与成绩评定</w:t>
      </w:r>
      <w:bookmarkEnd w:id="5"/>
    </w:p>
    <w:p w14:paraId="36E312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10"/>
          <w:sz w:val="31"/>
          <w:szCs w:val="31"/>
          <w:highlight w:val="none"/>
        </w:rPr>
        <w:t>1</w:t>
      </w:r>
      <w:r>
        <w:rPr>
          <w:rFonts w:ascii="宋体" w:hAnsi="宋体" w:eastAsia="宋体" w:cs="宋体"/>
          <w:spacing w:val="10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spacing w:val="10"/>
          <w:sz w:val="31"/>
          <w:szCs w:val="31"/>
          <w:highlight w:val="none"/>
        </w:rPr>
        <w:t>考试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eastAsia="zh-CN"/>
        </w:rPr>
        <w:t>采用撰写报告加答辩的方式，撰写课题研究报告、研究计划或文献综述，并结合课题进展进行汇报和答辩。报告成绩占比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val="en-US" w:eastAsia="zh-CN"/>
        </w:rPr>
        <w:t>40%，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eastAsia="zh-CN"/>
        </w:rPr>
        <w:t>答辩成绩占比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val="en-US" w:eastAsia="zh-CN"/>
        </w:rPr>
        <w:t>60%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。各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Hans"/>
        </w:rPr>
        <w:t>点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需至少提前1个月发布考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试通知</w:t>
      </w:r>
      <w:r>
        <w:rPr>
          <w:rFonts w:ascii="仿宋" w:hAnsi="仿宋" w:eastAsia="仿宋" w:cs="仿宋"/>
          <w:spacing w:val="4"/>
          <w:sz w:val="31"/>
          <w:szCs w:val="31"/>
          <w:highlight w:val="none"/>
        </w:rPr>
        <w:t>。</w:t>
      </w:r>
    </w:p>
    <w:p w14:paraId="478DE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宋体" w:hAnsi="宋体" w:eastAsia="宋体" w:cs="宋体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博</w:t>
      </w:r>
      <w:r>
        <w:rPr>
          <w:rFonts w:ascii="仿宋" w:hAnsi="仿宋" w:eastAsia="仿宋" w:cs="仿宋"/>
          <w:spacing w:val="6"/>
          <w:sz w:val="31"/>
          <w:szCs w:val="31"/>
        </w:rPr>
        <w:t>士生资格考试的成绩采用百分制，成绩70分以上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含70</w:t>
      </w:r>
      <w:r>
        <w:rPr>
          <w:rFonts w:ascii="仿宋" w:hAnsi="仿宋" w:eastAsia="仿宋" w:cs="仿宋"/>
          <w:spacing w:val="16"/>
          <w:sz w:val="31"/>
          <w:szCs w:val="31"/>
        </w:rPr>
        <w:t>分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为合格。原则上必须有不低于10%的博士生暂缓通过。暂缓</w:t>
      </w:r>
      <w:r>
        <w:rPr>
          <w:rFonts w:ascii="仿宋" w:hAnsi="仿宋" w:eastAsia="仿宋" w:cs="仿宋"/>
          <w:spacing w:val="10"/>
          <w:sz w:val="31"/>
          <w:szCs w:val="31"/>
        </w:rPr>
        <w:t>通过的</w:t>
      </w:r>
      <w:r>
        <w:rPr>
          <w:rFonts w:ascii="仿宋" w:hAnsi="仿宋" w:eastAsia="仿宋" w:cs="仿宋"/>
          <w:spacing w:val="7"/>
          <w:sz w:val="31"/>
          <w:szCs w:val="31"/>
        </w:rPr>
        <w:t>博</w:t>
      </w:r>
      <w:r>
        <w:rPr>
          <w:rFonts w:ascii="仿宋" w:hAnsi="仿宋" w:eastAsia="仿宋" w:cs="仿宋"/>
          <w:spacing w:val="5"/>
          <w:sz w:val="31"/>
          <w:szCs w:val="31"/>
        </w:rPr>
        <w:t>士生根据学习安排，可参加下一批次的博士生资格考试。</w:t>
      </w:r>
    </w:p>
    <w:p w14:paraId="7F252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6" w:name="_Toc25995"/>
      <w:r>
        <w:rPr>
          <w:rFonts w:ascii="黑体" w:hAnsi="黑体" w:eastAsia="黑体" w:cs="黑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、考试要求与时间</w:t>
      </w:r>
      <w:bookmarkEnd w:id="6"/>
    </w:p>
    <w:p w14:paraId="0E372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宋体" w:hAnsi="宋体" w:eastAsia="宋体" w:cs="宋体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资</w:t>
      </w:r>
      <w:r>
        <w:rPr>
          <w:rFonts w:ascii="仿宋" w:hAnsi="仿宋" w:eastAsia="仿宋" w:cs="仿宋"/>
          <w:spacing w:val="9"/>
          <w:sz w:val="31"/>
          <w:szCs w:val="31"/>
        </w:rPr>
        <w:t>格</w:t>
      </w:r>
      <w:r>
        <w:rPr>
          <w:rFonts w:ascii="仿宋" w:hAnsi="仿宋" w:eastAsia="仿宋" w:cs="仿宋"/>
          <w:spacing w:val="6"/>
          <w:sz w:val="31"/>
          <w:szCs w:val="31"/>
        </w:rPr>
        <w:t>考试时间一般安排在博士生入学后第二学期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直博生</w:t>
      </w:r>
      <w:r>
        <w:rPr>
          <w:rFonts w:ascii="仿宋" w:hAnsi="仿宋" w:eastAsia="仿宋" w:cs="仿宋"/>
          <w:spacing w:val="12"/>
          <w:sz w:val="31"/>
          <w:szCs w:val="31"/>
        </w:rPr>
        <w:t>在入学</w:t>
      </w:r>
      <w:r>
        <w:rPr>
          <w:rFonts w:ascii="仿宋" w:hAnsi="仿宋" w:eastAsia="仿宋" w:cs="仿宋"/>
          <w:spacing w:val="7"/>
          <w:sz w:val="31"/>
          <w:szCs w:val="31"/>
        </w:rPr>
        <w:t>后</w:t>
      </w:r>
      <w:r>
        <w:rPr>
          <w:rFonts w:ascii="仿宋" w:hAnsi="仿宋" w:eastAsia="仿宋" w:cs="仿宋"/>
          <w:spacing w:val="6"/>
          <w:sz w:val="31"/>
          <w:szCs w:val="31"/>
        </w:rPr>
        <w:t>第四学期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>进行，资格考试应该在入学后三年内完成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2EC072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博士生因休学等原因不能如期参加博士研究生资格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考试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，由本人提出书面申请，经导师及培养单位审批同意后方可延</w:t>
      </w:r>
      <w:r>
        <w:rPr>
          <w:rFonts w:ascii="仿宋" w:hAnsi="仿宋" w:eastAsia="仿宋" w:cs="仿宋"/>
          <w:spacing w:val="-5"/>
          <w:sz w:val="31"/>
          <w:szCs w:val="31"/>
        </w:rPr>
        <w:t>期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 w14:paraId="79D02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两次博士生资格考试时间间隔必须3个月以上。</w:t>
      </w:r>
    </w:p>
    <w:p w14:paraId="2E88D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7" w:name="_Toc29742"/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、考试成绩归档</w:t>
      </w:r>
      <w:bookmarkEnd w:id="7"/>
    </w:p>
    <w:p w14:paraId="1E4035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专家小组</w:t>
      </w:r>
      <w:r>
        <w:rPr>
          <w:rFonts w:ascii="仿宋" w:hAnsi="仿宋" w:eastAsia="仿宋" w:cs="仿宋"/>
          <w:spacing w:val="8"/>
          <w:sz w:val="31"/>
          <w:szCs w:val="31"/>
        </w:rPr>
        <w:t>须于考试结束后两周内在“研究生教育管理信息</w:t>
      </w:r>
      <w:r>
        <w:rPr>
          <w:rFonts w:ascii="仿宋" w:hAnsi="仿宋" w:eastAsia="仿宋" w:cs="仿宋"/>
          <w:spacing w:val="5"/>
          <w:sz w:val="31"/>
          <w:szCs w:val="31"/>
        </w:rPr>
        <w:t>系</w:t>
      </w:r>
      <w:r>
        <w:rPr>
          <w:rFonts w:ascii="仿宋" w:hAnsi="仿宋" w:eastAsia="仿宋" w:cs="仿宋"/>
          <w:spacing w:val="6"/>
          <w:sz w:val="31"/>
          <w:szCs w:val="31"/>
        </w:rPr>
        <w:t>统</w:t>
      </w:r>
      <w:r>
        <w:rPr>
          <w:rFonts w:ascii="仿宋" w:hAnsi="仿宋" w:eastAsia="仿宋" w:cs="仿宋"/>
          <w:spacing w:val="5"/>
          <w:sz w:val="31"/>
          <w:szCs w:val="31"/>
        </w:rPr>
        <w:t>”中录入成绩。</w:t>
      </w:r>
    </w:p>
    <w:p w14:paraId="59C4B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bookmarkStart w:id="8" w:name="_Toc21717"/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七、其他</w:t>
      </w:r>
      <w:bookmarkEnd w:id="8"/>
    </w:p>
    <w:p w14:paraId="35ECA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通</w:t>
      </w:r>
      <w:r>
        <w:rPr>
          <w:rFonts w:ascii="仿宋" w:hAnsi="仿宋" w:eastAsia="仿宋" w:cs="仿宋"/>
          <w:spacing w:val="4"/>
          <w:sz w:val="31"/>
          <w:szCs w:val="31"/>
        </w:rPr>
        <w:t>过</w:t>
      </w:r>
      <w:r>
        <w:rPr>
          <w:rFonts w:ascii="仿宋" w:hAnsi="仿宋" w:eastAsia="仿宋" w:cs="仿宋"/>
          <w:spacing w:val="3"/>
          <w:sz w:val="31"/>
          <w:szCs w:val="31"/>
        </w:rPr>
        <w:t>博士研究生资格考试者，继续按博士生培养。普博生</w:t>
      </w:r>
      <w:r>
        <w:rPr>
          <w:rFonts w:ascii="仿宋" w:hAnsi="仿宋" w:eastAsia="仿宋" w:cs="仿宋"/>
          <w:spacing w:val="8"/>
          <w:sz w:val="31"/>
          <w:szCs w:val="31"/>
        </w:rPr>
        <w:t>入学后</w:t>
      </w:r>
      <w:r>
        <w:rPr>
          <w:rFonts w:ascii="仿宋" w:hAnsi="仿宋" w:eastAsia="仿宋" w:cs="仿宋"/>
          <w:spacing w:val="5"/>
          <w:sz w:val="31"/>
          <w:szCs w:val="31"/>
        </w:rPr>
        <w:t>第</w:t>
      </w:r>
      <w:r>
        <w:rPr>
          <w:rFonts w:ascii="仿宋" w:hAnsi="仿宋" w:eastAsia="仿宋" w:cs="仿宋"/>
          <w:spacing w:val="4"/>
          <w:sz w:val="31"/>
          <w:szCs w:val="31"/>
        </w:rPr>
        <w:t>4学期结束前，直博生、硕博连读生入学后第6学期结束</w:t>
      </w:r>
      <w:r>
        <w:rPr>
          <w:rFonts w:ascii="仿宋" w:hAnsi="仿宋" w:eastAsia="仿宋" w:cs="仿宋"/>
          <w:spacing w:val="2"/>
          <w:sz w:val="31"/>
          <w:szCs w:val="31"/>
        </w:rPr>
        <w:t>前未通过资格考试者或参加2次资格考试未通过者，应予以分流，</w:t>
      </w:r>
      <w:r>
        <w:rPr>
          <w:rFonts w:ascii="仿宋" w:hAnsi="仿宋" w:eastAsia="仿宋" w:cs="仿宋"/>
          <w:spacing w:val="8"/>
          <w:sz w:val="31"/>
          <w:szCs w:val="31"/>
        </w:rPr>
        <w:t>普通博士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>作退学处理，硕博连读生或直博生可申请转入硕士层</w:t>
      </w:r>
      <w:r>
        <w:rPr>
          <w:rFonts w:ascii="仿宋" w:hAnsi="仿宋" w:eastAsia="仿宋" w:cs="仿宋"/>
          <w:spacing w:val="14"/>
          <w:sz w:val="31"/>
          <w:szCs w:val="31"/>
        </w:rPr>
        <w:t>次</w:t>
      </w:r>
      <w:r>
        <w:rPr>
          <w:rFonts w:ascii="仿宋" w:hAnsi="仿宋" w:eastAsia="仿宋" w:cs="仿宋"/>
          <w:spacing w:val="9"/>
          <w:sz w:val="31"/>
          <w:szCs w:val="31"/>
        </w:rPr>
        <w:t>继</w:t>
      </w:r>
      <w:r>
        <w:rPr>
          <w:rFonts w:ascii="仿宋" w:hAnsi="仿宋" w:eastAsia="仿宋" w:cs="仿宋"/>
          <w:spacing w:val="7"/>
          <w:sz w:val="31"/>
          <w:szCs w:val="31"/>
        </w:rPr>
        <w:t>续学习或作退学处理。</w:t>
      </w:r>
    </w:p>
    <w:p w14:paraId="432DB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sectPr>
          <w:footerReference r:id="rId5" w:type="default"/>
          <w:pgSz w:w="11910" w:h="16840"/>
          <w:pgMar w:top="1431" w:right="1400" w:bottom="1882" w:left="1600" w:header="0" w:footer="1505" w:gutter="0"/>
          <w:pgNumType w:fmt="decimal"/>
          <w:cols w:space="720" w:num="1"/>
        </w:sectPr>
      </w:pPr>
      <w:r>
        <w:rPr>
          <w:rFonts w:hint="default"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Hans"/>
        </w:rPr>
        <w:t>考核小组</w:t>
      </w:r>
      <w:r>
        <w:rPr>
          <w:rFonts w:ascii="仿宋" w:hAnsi="仿宋" w:eastAsia="仿宋" w:cs="仿宋"/>
          <w:spacing w:val="7"/>
          <w:sz w:val="31"/>
          <w:szCs w:val="31"/>
        </w:rPr>
        <w:t>须将博士</w:t>
      </w:r>
      <w:r>
        <w:rPr>
          <w:rFonts w:ascii="仿宋" w:hAnsi="仿宋" w:eastAsia="仿宋" w:cs="仿宋"/>
          <w:spacing w:val="8"/>
          <w:sz w:val="31"/>
          <w:szCs w:val="31"/>
        </w:rPr>
        <w:t>生资格考试具体时间提前</w:t>
      </w:r>
      <w:r>
        <w:rPr>
          <w:rFonts w:hint="default" w:ascii="仿宋" w:hAnsi="仿宋" w:eastAsia="仿宋" w:cs="仿宋"/>
          <w:spacing w:val="8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天报备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学院，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Hans"/>
        </w:rPr>
        <w:t>学院</w:t>
      </w:r>
      <w:r>
        <w:rPr>
          <w:rFonts w:hint="default" w:ascii="仿宋" w:hAnsi="仿宋" w:eastAsia="仿宋" w:cs="仿宋"/>
          <w:spacing w:val="7"/>
          <w:sz w:val="31"/>
          <w:szCs w:val="31"/>
          <w:lang w:eastAsia="zh-Hans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研究生院将组织督导与巡查。</w:t>
      </w:r>
    </w:p>
    <w:p w14:paraId="003ECB6F">
      <w:pPr>
        <w:rPr>
          <w:rFonts w:ascii="仿宋" w:hAnsi="仿宋" w:eastAsia="仿宋" w:cs="仿宋"/>
          <w:spacing w:val="8"/>
          <w:sz w:val="31"/>
          <w:szCs w:val="31"/>
        </w:rPr>
      </w:pPr>
    </w:p>
    <w:sectPr>
      <w:footerReference r:id="rId6" w:type="default"/>
      <w:pgSz w:w="11910" w:h="16840"/>
      <w:pgMar w:top="1431" w:right="1378" w:bottom="1875" w:left="1590" w:header="0" w:footer="150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DBC3F">
    <w:pPr>
      <w:spacing w:line="377" w:lineRule="exact"/>
      <w:ind w:left="31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0381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0381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91674">
    <w:pPr>
      <w:spacing w:line="374" w:lineRule="exact"/>
      <w:ind w:right="297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9F84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9F84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RiYjkxMWJmNjcyZGY0ZTczY2ZjZjAzZGQzY2NmNTQifQ=="/>
  </w:docVars>
  <w:rsids>
    <w:rsidRoot w:val="00000000"/>
    <w:rsid w:val="02242F54"/>
    <w:rsid w:val="09772851"/>
    <w:rsid w:val="09B713FD"/>
    <w:rsid w:val="09FB407A"/>
    <w:rsid w:val="0D67065A"/>
    <w:rsid w:val="0D6FFD71"/>
    <w:rsid w:val="0FCF1A33"/>
    <w:rsid w:val="17DE6A65"/>
    <w:rsid w:val="1DDF65BC"/>
    <w:rsid w:val="1E5BF373"/>
    <w:rsid w:val="1FEF25DE"/>
    <w:rsid w:val="26585F7F"/>
    <w:rsid w:val="2BFE5679"/>
    <w:rsid w:val="2C423AFA"/>
    <w:rsid w:val="2C8F85EF"/>
    <w:rsid w:val="2FF3224A"/>
    <w:rsid w:val="36FA40FF"/>
    <w:rsid w:val="37493CF6"/>
    <w:rsid w:val="396FF44E"/>
    <w:rsid w:val="3AFE1742"/>
    <w:rsid w:val="3BAB2859"/>
    <w:rsid w:val="3BFCA1D3"/>
    <w:rsid w:val="3BFF8AB0"/>
    <w:rsid w:val="3C694D98"/>
    <w:rsid w:val="3E53E855"/>
    <w:rsid w:val="3EF38CF0"/>
    <w:rsid w:val="3F561510"/>
    <w:rsid w:val="3FBBA384"/>
    <w:rsid w:val="3FEB4FE4"/>
    <w:rsid w:val="3FEE83AA"/>
    <w:rsid w:val="3FF299FF"/>
    <w:rsid w:val="4227276F"/>
    <w:rsid w:val="44AA4609"/>
    <w:rsid w:val="4E7FDF67"/>
    <w:rsid w:val="4EFFE551"/>
    <w:rsid w:val="4FBFE573"/>
    <w:rsid w:val="526BF3A3"/>
    <w:rsid w:val="53F3067E"/>
    <w:rsid w:val="572C320E"/>
    <w:rsid w:val="576F3A04"/>
    <w:rsid w:val="57EEED45"/>
    <w:rsid w:val="59CF0D64"/>
    <w:rsid w:val="5B7F49AE"/>
    <w:rsid w:val="5D942D21"/>
    <w:rsid w:val="5E23D290"/>
    <w:rsid w:val="5ED6C4C4"/>
    <w:rsid w:val="5F9EF46D"/>
    <w:rsid w:val="5FFFC52E"/>
    <w:rsid w:val="69CBBADD"/>
    <w:rsid w:val="6BBBE532"/>
    <w:rsid w:val="6C67686F"/>
    <w:rsid w:val="6D733737"/>
    <w:rsid w:val="6E3DA1FE"/>
    <w:rsid w:val="6E556107"/>
    <w:rsid w:val="6F7BEFEF"/>
    <w:rsid w:val="6FFD5230"/>
    <w:rsid w:val="6FFF4751"/>
    <w:rsid w:val="6FFF74D4"/>
    <w:rsid w:val="703F4BA1"/>
    <w:rsid w:val="72FB70B7"/>
    <w:rsid w:val="739F4A7F"/>
    <w:rsid w:val="73C3C503"/>
    <w:rsid w:val="74454183"/>
    <w:rsid w:val="75078951"/>
    <w:rsid w:val="762DF096"/>
    <w:rsid w:val="766320F4"/>
    <w:rsid w:val="76DFD5CB"/>
    <w:rsid w:val="77BFEF90"/>
    <w:rsid w:val="77DD5066"/>
    <w:rsid w:val="79139EA1"/>
    <w:rsid w:val="79DB6D8D"/>
    <w:rsid w:val="7AFD81B4"/>
    <w:rsid w:val="7BFEA036"/>
    <w:rsid w:val="7BFF5A5C"/>
    <w:rsid w:val="7BFF9160"/>
    <w:rsid w:val="7D5BD680"/>
    <w:rsid w:val="7DEF1818"/>
    <w:rsid w:val="7DEFF0CA"/>
    <w:rsid w:val="7DF67D73"/>
    <w:rsid w:val="7E4B52B9"/>
    <w:rsid w:val="7E5FED3D"/>
    <w:rsid w:val="7ED57FAD"/>
    <w:rsid w:val="7EF7409A"/>
    <w:rsid w:val="7F549F5C"/>
    <w:rsid w:val="7F5B2504"/>
    <w:rsid w:val="7F7BAFE7"/>
    <w:rsid w:val="7FDDA427"/>
    <w:rsid w:val="7FEC90B9"/>
    <w:rsid w:val="7FF25049"/>
    <w:rsid w:val="7FFE9713"/>
    <w:rsid w:val="7FFFC31E"/>
    <w:rsid w:val="8FD77E34"/>
    <w:rsid w:val="97F7D2AA"/>
    <w:rsid w:val="9BF2F6EE"/>
    <w:rsid w:val="9BF6B5B1"/>
    <w:rsid w:val="9D93D9A0"/>
    <w:rsid w:val="AF9B6F01"/>
    <w:rsid w:val="AFEB5E4B"/>
    <w:rsid w:val="B3FA0040"/>
    <w:rsid w:val="B57F1C66"/>
    <w:rsid w:val="B7D98E27"/>
    <w:rsid w:val="B7F882F5"/>
    <w:rsid w:val="BADFF4B1"/>
    <w:rsid w:val="BBDD030A"/>
    <w:rsid w:val="BBFA4428"/>
    <w:rsid w:val="BCBF9247"/>
    <w:rsid w:val="BCFA898D"/>
    <w:rsid w:val="BDCD816F"/>
    <w:rsid w:val="BF57D080"/>
    <w:rsid w:val="BFDFFC20"/>
    <w:rsid w:val="CEBF5B44"/>
    <w:rsid w:val="CFE1D78D"/>
    <w:rsid w:val="D1DF1DB5"/>
    <w:rsid w:val="D55DDD2D"/>
    <w:rsid w:val="D5DB93D6"/>
    <w:rsid w:val="D6FF139D"/>
    <w:rsid w:val="D976D304"/>
    <w:rsid w:val="DBFFA911"/>
    <w:rsid w:val="DD6EE825"/>
    <w:rsid w:val="DD9F5E2F"/>
    <w:rsid w:val="DEDBCF1E"/>
    <w:rsid w:val="DEFFCF6C"/>
    <w:rsid w:val="DFDFDAC4"/>
    <w:rsid w:val="E1FF86A8"/>
    <w:rsid w:val="E3B7EAC7"/>
    <w:rsid w:val="E5FFE213"/>
    <w:rsid w:val="E77BA09A"/>
    <w:rsid w:val="E9FE2345"/>
    <w:rsid w:val="ECF6F7B1"/>
    <w:rsid w:val="EDF7AE66"/>
    <w:rsid w:val="EEFE26EA"/>
    <w:rsid w:val="EF3F2F2E"/>
    <w:rsid w:val="EF8FBFB8"/>
    <w:rsid w:val="EFF7B189"/>
    <w:rsid w:val="EFFFCF2E"/>
    <w:rsid w:val="F165546C"/>
    <w:rsid w:val="F379D42D"/>
    <w:rsid w:val="F3FF2B8E"/>
    <w:rsid w:val="F667ED8D"/>
    <w:rsid w:val="F76C4829"/>
    <w:rsid w:val="F7FBD868"/>
    <w:rsid w:val="FAFA6662"/>
    <w:rsid w:val="FB72DC36"/>
    <w:rsid w:val="FB7FEE1D"/>
    <w:rsid w:val="FBB6D808"/>
    <w:rsid w:val="FBEDF992"/>
    <w:rsid w:val="FBFA279D"/>
    <w:rsid w:val="FBFF6CC7"/>
    <w:rsid w:val="FCFE44B5"/>
    <w:rsid w:val="FD83A605"/>
    <w:rsid w:val="FDBF2C65"/>
    <w:rsid w:val="FDDE7175"/>
    <w:rsid w:val="FDFE6875"/>
    <w:rsid w:val="FDFE9F46"/>
    <w:rsid w:val="FECEFBF9"/>
    <w:rsid w:val="FEDB5F4D"/>
    <w:rsid w:val="FEEB05AE"/>
    <w:rsid w:val="FEF7A47F"/>
    <w:rsid w:val="FF9FA2C4"/>
    <w:rsid w:val="FFC679A4"/>
    <w:rsid w:val="FFDF9971"/>
    <w:rsid w:val="FFDFABAC"/>
    <w:rsid w:val="FFF8025B"/>
    <w:rsid w:val="FFFC5D37"/>
    <w:rsid w:val="FFFFA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WPSOffice手动目录 1"/>
    <w:autoRedefine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1">
    <w:name w:val="WPSOffice手动目录 2"/>
    <w:autoRedefine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customStyle="1" w:styleId="12">
    <w:name w:val="WPSOffice手动目录 3"/>
    <w:autoRedefine/>
    <w:qFormat/>
    <w:uiPriority w:val="0"/>
    <w:pPr>
      <w:ind w:leftChars="4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996</Words>
  <Characters>1019</Characters>
  <TotalTime>21</TotalTime>
  <ScaleCrop>false</ScaleCrop>
  <LinksUpToDate>false</LinksUpToDate>
  <CharactersWithSpaces>1019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2023-07-08T06:37:00Z</dcterms:created>
  <dc:creator>东方妍妍</dc:creator>
  <cp:lastModifiedBy>龚智慧</cp:lastModifiedBy>
  <cp:lastPrinted>2025-04-27T08:44:50Z</cp:lastPrinted>
  <dcterms:modified xsi:type="dcterms:W3CDTF">2025-04-27T09:19:02Z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2023-08-16T23:31:57Z</vt:filetime>
  </property>
  <property fmtid="{D5CDD505-2E9C-101B-9397-08002B2CF9AE}" pid="4" name="UsrData">
    <vt:lpwstr>64dcebdf39f1df001f9b384a</vt:lpwstr>
  </property>
  <property fmtid="{D5CDD505-2E9C-101B-9397-08002B2CF9AE}" pid="5" name="KSOProductBuildVer">
    <vt:lpwstr>2052-12.1.0.20305</vt:lpwstr>
  </property>
  <property fmtid="{D5CDD505-2E9C-101B-9397-08002B2CF9AE}" pid="6" name="ICV">
    <vt:lpwstr>B8ED16B73B2B4437A7AD5257925B02C6_13</vt:lpwstr>
  </property>
  <property fmtid="{D5CDD505-2E9C-101B-9397-08002B2CF9AE}" pid="7" name="KSOTemplateDocerSaveRecord">
    <vt:lpwstr>eyJoZGlkIjoiOTRiYjkxMWJmNjcyZGY0ZTczY2ZjZjAzZGQzY2NmNTQiLCJ1c2VySWQiOiI1MDY2ODY0NDkifQ==</vt:lpwstr>
  </property>
</Properties>
</file>